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9A4" w:rsidRDefault="00E679A4" w:rsidP="005879A8">
      <w:pPr>
        <w:ind w:left="-426"/>
        <w:jc w:val="center"/>
        <w:rPr>
          <w:b/>
          <w:sz w:val="28"/>
          <w:szCs w:val="28"/>
        </w:rPr>
      </w:pPr>
      <w:r w:rsidRPr="005879A8">
        <w:rPr>
          <w:b/>
          <w:sz w:val="28"/>
          <w:szCs w:val="28"/>
        </w:rPr>
        <w:t>PNRH – Estratégia de Implementação e Monitoramento das Prioridades 2016-2020</w:t>
      </w:r>
    </w:p>
    <w:p w:rsidR="005879A8" w:rsidRPr="005879A8" w:rsidRDefault="005879A8" w:rsidP="005879A8">
      <w:pPr>
        <w:ind w:left="-426"/>
        <w:jc w:val="center"/>
        <w:rPr>
          <w:b/>
        </w:rPr>
      </w:pPr>
      <w:hyperlink r:id="rId5" w:history="1">
        <w:r w:rsidRPr="005879A8">
          <w:rPr>
            <w:rStyle w:val="Hyperlink"/>
            <w:b/>
          </w:rPr>
          <w:t>Resolução nº 181, de 07 de dezembro de 2016</w:t>
        </w:r>
      </w:hyperlink>
    </w:p>
    <w:p w:rsidR="009B49A3" w:rsidRDefault="00BC0514" w:rsidP="00E679A4">
      <w:pPr>
        <w:jc w:val="both"/>
        <w:rPr>
          <w:rFonts w:ascii="Arial" w:hAnsi="Arial" w:cs="Arial"/>
          <w:sz w:val="24"/>
          <w:szCs w:val="24"/>
        </w:rPr>
      </w:pPr>
      <w:r w:rsidRPr="00F303DC">
        <w:rPr>
          <w:rFonts w:ascii="Arial" w:hAnsi="Arial" w:cs="Arial"/>
          <w:sz w:val="24"/>
          <w:szCs w:val="24"/>
        </w:rPr>
        <w:t xml:space="preserve">Tabela 23 </w:t>
      </w:r>
      <w:r w:rsidRPr="00F303DC">
        <w:rPr>
          <w:rFonts w:ascii="ArialMT" w:hAnsi="ArialMT" w:cs="ArialMT"/>
          <w:sz w:val="24"/>
          <w:szCs w:val="24"/>
        </w:rPr>
        <w:t xml:space="preserve">– </w:t>
      </w:r>
      <w:r w:rsidRPr="00F303DC">
        <w:rPr>
          <w:rFonts w:ascii="Arial" w:hAnsi="Arial" w:cs="Arial"/>
          <w:sz w:val="24"/>
          <w:szCs w:val="24"/>
        </w:rPr>
        <w:t>Marcos e Prazos da Meta 22</w:t>
      </w:r>
      <w:r w:rsidR="005879A8">
        <w:rPr>
          <w:rFonts w:ascii="Arial" w:hAnsi="Arial" w:cs="Arial"/>
          <w:sz w:val="24"/>
          <w:szCs w:val="24"/>
        </w:rPr>
        <w:t xml:space="preserve"> – Relatório.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90"/>
        <w:gridCol w:w="1701"/>
      </w:tblGrid>
      <w:tr w:rsidR="009B49A3" w:rsidRPr="00F303DC" w:rsidTr="00733467">
        <w:tc>
          <w:tcPr>
            <w:tcW w:w="6091" w:type="dxa"/>
            <w:gridSpan w:val="2"/>
            <w:vAlign w:val="center"/>
          </w:tcPr>
          <w:p w:rsidR="009B49A3" w:rsidRPr="00F303DC" w:rsidRDefault="009B49A3" w:rsidP="009B49A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303DC">
              <w:rPr>
                <w:b/>
                <w:sz w:val="24"/>
                <w:szCs w:val="24"/>
              </w:rPr>
              <w:t>Meta 22: Revisar a Resolução CNRH nº 16/2001, que estabelece os procedimentos e critérios gerais de outorga</w:t>
            </w:r>
          </w:p>
        </w:tc>
      </w:tr>
      <w:tr w:rsidR="009B49A3" w:rsidRPr="00F303DC" w:rsidTr="00733467">
        <w:tc>
          <w:tcPr>
            <w:tcW w:w="4390" w:type="dxa"/>
          </w:tcPr>
          <w:p w:rsidR="009B49A3" w:rsidRPr="00F303DC" w:rsidRDefault="00733467" w:rsidP="00733467">
            <w:pPr>
              <w:jc w:val="center"/>
              <w:rPr>
                <w:b/>
                <w:sz w:val="24"/>
                <w:szCs w:val="24"/>
              </w:rPr>
            </w:pPr>
            <w:r w:rsidRPr="00F303DC">
              <w:rPr>
                <w:b/>
                <w:sz w:val="24"/>
                <w:szCs w:val="24"/>
              </w:rPr>
              <w:t>Marco</w:t>
            </w:r>
          </w:p>
        </w:tc>
        <w:tc>
          <w:tcPr>
            <w:tcW w:w="1701" w:type="dxa"/>
          </w:tcPr>
          <w:p w:rsidR="009B49A3" w:rsidRPr="00F303DC" w:rsidRDefault="00733467" w:rsidP="00733467">
            <w:pPr>
              <w:jc w:val="center"/>
              <w:rPr>
                <w:b/>
                <w:sz w:val="24"/>
                <w:szCs w:val="24"/>
              </w:rPr>
            </w:pPr>
            <w:r w:rsidRPr="00F303DC">
              <w:rPr>
                <w:b/>
                <w:sz w:val="24"/>
                <w:szCs w:val="24"/>
              </w:rPr>
              <w:t>Previsão</w:t>
            </w:r>
          </w:p>
        </w:tc>
      </w:tr>
      <w:tr w:rsidR="009B49A3" w:rsidRPr="00F303DC" w:rsidTr="00733467">
        <w:trPr>
          <w:trHeight w:val="537"/>
        </w:trPr>
        <w:tc>
          <w:tcPr>
            <w:tcW w:w="4390" w:type="dxa"/>
            <w:vAlign w:val="center"/>
          </w:tcPr>
          <w:p w:rsidR="009B49A3" w:rsidRPr="00F303DC" w:rsidRDefault="00733467" w:rsidP="00733467">
            <w:pPr>
              <w:jc w:val="center"/>
              <w:rPr>
                <w:sz w:val="24"/>
                <w:szCs w:val="24"/>
              </w:rPr>
            </w:pPr>
            <w:r w:rsidRPr="00F303DC">
              <w:rPr>
                <w:sz w:val="24"/>
                <w:szCs w:val="24"/>
              </w:rPr>
              <w:t>Nenhuma ação executada</w:t>
            </w:r>
          </w:p>
        </w:tc>
        <w:tc>
          <w:tcPr>
            <w:tcW w:w="1701" w:type="dxa"/>
            <w:vAlign w:val="center"/>
          </w:tcPr>
          <w:p w:rsidR="009B49A3" w:rsidRPr="00F303DC" w:rsidRDefault="00733467" w:rsidP="00733467">
            <w:pPr>
              <w:jc w:val="center"/>
              <w:rPr>
                <w:sz w:val="24"/>
                <w:szCs w:val="24"/>
              </w:rPr>
            </w:pPr>
            <w:r w:rsidRPr="00F303DC">
              <w:rPr>
                <w:sz w:val="24"/>
                <w:szCs w:val="24"/>
              </w:rPr>
              <w:t>Dez/16</w:t>
            </w:r>
          </w:p>
        </w:tc>
      </w:tr>
      <w:tr w:rsidR="009B49A3" w:rsidRPr="00F303DC" w:rsidTr="00733467">
        <w:trPr>
          <w:trHeight w:val="537"/>
        </w:trPr>
        <w:tc>
          <w:tcPr>
            <w:tcW w:w="4390" w:type="dxa"/>
            <w:vAlign w:val="center"/>
          </w:tcPr>
          <w:p w:rsidR="009B49A3" w:rsidRPr="00F303DC" w:rsidRDefault="00733467" w:rsidP="00733467">
            <w:pPr>
              <w:jc w:val="center"/>
              <w:rPr>
                <w:sz w:val="24"/>
                <w:szCs w:val="24"/>
              </w:rPr>
            </w:pPr>
            <w:r w:rsidRPr="00F303DC">
              <w:rPr>
                <w:sz w:val="24"/>
                <w:szCs w:val="24"/>
              </w:rPr>
              <w:t>Discussão iniciada na CTPOAR</w:t>
            </w:r>
          </w:p>
        </w:tc>
        <w:tc>
          <w:tcPr>
            <w:tcW w:w="1701" w:type="dxa"/>
            <w:vAlign w:val="center"/>
          </w:tcPr>
          <w:p w:rsidR="009B49A3" w:rsidRPr="00F303DC" w:rsidRDefault="00733467" w:rsidP="00733467">
            <w:pPr>
              <w:jc w:val="center"/>
              <w:rPr>
                <w:sz w:val="24"/>
                <w:szCs w:val="24"/>
              </w:rPr>
            </w:pPr>
            <w:proofErr w:type="spellStart"/>
            <w:r w:rsidRPr="00F303DC">
              <w:rPr>
                <w:sz w:val="24"/>
                <w:szCs w:val="24"/>
              </w:rPr>
              <w:t>Nov</w:t>
            </w:r>
            <w:proofErr w:type="spellEnd"/>
            <w:r w:rsidRPr="00F303DC">
              <w:rPr>
                <w:sz w:val="24"/>
                <w:szCs w:val="24"/>
              </w:rPr>
              <w:t>/17</w:t>
            </w:r>
          </w:p>
        </w:tc>
      </w:tr>
      <w:tr w:rsidR="009B49A3" w:rsidRPr="00F303DC" w:rsidTr="00733467">
        <w:trPr>
          <w:trHeight w:val="537"/>
        </w:trPr>
        <w:tc>
          <w:tcPr>
            <w:tcW w:w="4390" w:type="dxa"/>
            <w:vAlign w:val="center"/>
          </w:tcPr>
          <w:p w:rsidR="009B49A3" w:rsidRPr="00F303DC" w:rsidRDefault="00733467" w:rsidP="007334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303DC">
              <w:rPr>
                <w:sz w:val="24"/>
                <w:szCs w:val="24"/>
              </w:rPr>
              <w:t>Proposta de resolução aprovada pela CTPOAR e encaminhada para a CTIL</w:t>
            </w:r>
          </w:p>
        </w:tc>
        <w:tc>
          <w:tcPr>
            <w:tcW w:w="1701" w:type="dxa"/>
            <w:vAlign w:val="center"/>
          </w:tcPr>
          <w:p w:rsidR="009B49A3" w:rsidRPr="00F303DC" w:rsidRDefault="00733467" w:rsidP="00733467">
            <w:pPr>
              <w:jc w:val="center"/>
              <w:rPr>
                <w:sz w:val="24"/>
                <w:szCs w:val="24"/>
              </w:rPr>
            </w:pPr>
            <w:proofErr w:type="spellStart"/>
            <w:r w:rsidRPr="00F303DC">
              <w:rPr>
                <w:sz w:val="24"/>
                <w:szCs w:val="24"/>
              </w:rPr>
              <w:t>Nov</w:t>
            </w:r>
            <w:proofErr w:type="spellEnd"/>
            <w:r w:rsidRPr="00F303DC">
              <w:rPr>
                <w:sz w:val="24"/>
                <w:szCs w:val="24"/>
              </w:rPr>
              <w:t>/18</w:t>
            </w:r>
          </w:p>
        </w:tc>
      </w:tr>
      <w:tr w:rsidR="009B49A3" w:rsidRPr="00F303DC" w:rsidTr="00733467">
        <w:trPr>
          <w:trHeight w:val="537"/>
        </w:trPr>
        <w:tc>
          <w:tcPr>
            <w:tcW w:w="4390" w:type="dxa"/>
            <w:vAlign w:val="center"/>
          </w:tcPr>
          <w:p w:rsidR="009B49A3" w:rsidRPr="00F303DC" w:rsidRDefault="00733467" w:rsidP="00733467">
            <w:pPr>
              <w:jc w:val="center"/>
              <w:rPr>
                <w:sz w:val="24"/>
                <w:szCs w:val="24"/>
              </w:rPr>
            </w:pPr>
            <w:r w:rsidRPr="00F303DC">
              <w:rPr>
                <w:sz w:val="24"/>
                <w:szCs w:val="24"/>
              </w:rPr>
              <w:t>Proposta de resolução aprovada pela CTIL</w:t>
            </w:r>
          </w:p>
        </w:tc>
        <w:tc>
          <w:tcPr>
            <w:tcW w:w="1701" w:type="dxa"/>
            <w:vAlign w:val="center"/>
          </w:tcPr>
          <w:p w:rsidR="009B49A3" w:rsidRPr="00F303DC" w:rsidRDefault="00733467" w:rsidP="00733467">
            <w:pPr>
              <w:jc w:val="center"/>
              <w:rPr>
                <w:sz w:val="24"/>
                <w:szCs w:val="24"/>
              </w:rPr>
            </w:pPr>
            <w:proofErr w:type="spellStart"/>
            <w:r w:rsidRPr="00F303DC">
              <w:rPr>
                <w:sz w:val="24"/>
                <w:szCs w:val="24"/>
              </w:rPr>
              <w:t>Fev</w:t>
            </w:r>
            <w:proofErr w:type="spellEnd"/>
            <w:r w:rsidRPr="00F303DC">
              <w:rPr>
                <w:sz w:val="24"/>
                <w:szCs w:val="24"/>
              </w:rPr>
              <w:t>/19</w:t>
            </w:r>
          </w:p>
        </w:tc>
      </w:tr>
      <w:tr w:rsidR="009B49A3" w:rsidRPr="00F303DC" w:rsidTr="00733467">
        <w:trPr>
          <w:trHeight w:val="537"/>
        </w:trPr>
        <w:tc>
          <w:tcPr>
            <w:tcW w:w="4390" w:type="dxa"/>
            <w:vAlign w:val="center"/>
          </w:tcPr>
          <w:p w:rsidR="009B49A3" w:rsidRPr="00F303DC" w:rsidRDefault="00733467" w:rsidP="00733467">
            <w:pPr>
              <w:jc w:val="center"/>
              <w:rPr>
                <w:sz w:val="24"/>
                <w:szCs w:val="24"/>
              </w:rPr>
            </w:pPr>
            <w:r w:rsidRPr="00F303DC">
              <w:rPr>
                <w:sz w:val="24"/>
                <w:szCs w:val="24"/>
              </w:rPr>
              <w:t>Proposta de Resolução aprovada pelo CNRH</w:t>
            </w:r>
          </w:p>
        </w:tc>
        <w:tc>
          <w:tcPr>
            <w:tcW w:w="1701" w:type="dxa"/>
            <w:vAlign w:val="center"/>
          </w:tcPr>
          <w:p w:rsidR="009B49A3" w:rsidRPr="00F303DC" w:rsidRDefault="00733467" w:rsidP="00733467">
            <w:pPr>
              <w:jc w:val="center"/>
              <w:rPr>
                <w:sz w:val="24"/>
                <w:szCs w:val="24"/>
              </w:rPr>
            </w:pPr>
            <w:r w:rsidRPr="00F303DC">
              <w:rPr>
                <w:sz w:val="24"/>
                <w:szCs w:val="24"/>
              </w:rPr>
              <w:t>Mar/19</w:t>
            </w:r>
          </w:p>
        </w:tc>
      </w:tr>
    </w:tbl>
    <w:p w:rsidR="009B49A3" w:rsidRPr="00F303DC" w:rsidRDefault="009B49A3" w:rsidP="00E679A4">
      <w:pPr>
        <w:jc w:val="both"/>
        <w:rPr>
          <w:sz w:val="24"/>
          <w:szCs w:val="24"/>
        </w:rPr>
      </w:pPr>
    </w:p>
    <w:p w:rsidR="003B7F80" w:rsidRPr="005D0E88" w:rsidRDefault="00E679A4" w:rsidP="00E679A4">
      <w:pPr>
        <w:jc w:val="both"/>
        <w:rPr>
          <w:b/>
          <w:sz w:val="24"/>
          <w:szCs w:val="24"/>
        </w:rPr>
      </w:pPr>
      <w:r w:rsidRPr="00F303DC">
        <w:rPr>
          <w:sz w:val="24"/>
          <w:szCs w:val="24"/>
        </w:rPr>
        <w:t xml:space="preserve">Justificativas para mudanças nas </w:t>
      </w:r>
      <w:r w:rsidR="001F6F39" w:rsidRPr="00F303DC">
        <w:rPr>
          <w:sz w:val="24"/>
          <w:szCs w:val="24"/>
        </w:rPr>
        <w:t>M</w:t>
      </w:r>
      <w:r w:rsidRPr="00F303DC">
        <w:rPr>
          <w:sz w:val="24"/>
          <w:szCs w:val="24"/>
        </w:rPr>
        <w:t xml:space="preserve">etas </w:t>
      </w:r>
      <w:r w:rsidR="003E000D" w:rsidRPr="00F303DC">
        <w:rPr>
          <w:sz w:val="24"/>
          <w:szCs w:val="24"/>
        </w:rPr>
        <w:t>22 e 24</w:t>
      </w:r>
      <w:r w:rsidR="0025327B" w:rsidRPr="00F303DC">
        <w:rPr>
          <w:sz w:val="24"/>
          <w:szCs w:val="24"/>
        </w:rPr>
        <w:t xml:space="preserve"> da </w:t>
      </w:r>
      <w:r w:rsidR="0025327B" w:rsidRPr="005D0E88">
        <w:rPr>
          <w:b/>
          <w:sz w:val="24"/>
          <w:szCs w:val="24"/>
        </w:rPr>
        <w:t>Prioridade 6</w:t>
      </w:r>
    </w:p>
    <w:p w:rsidR="009C5368" w:rsidRPr="00F303DC" w:rsidRDefault="009C5368" w:rsidP="00E679A4">
      <w:pPr>
        <w:jc w:val="both"/>
        <w:rPr>
          <w:sz w:val="24"/>
          <w:szCs w:val="24"/>
        </w:rPr>
      </w:pPr>
      <w:r w:rsidRPr="00F303DC">
        <w:rPr>
          <w:sz w:val="24"/>
          <w:szCs w:val="24"/>
        </w:rPr>
        <w:t>Não há mudanças em relação à estratégia proposta (realização de oficina de trabalho e primeira minuta de Resolução a ser elaborada pela ANA), já aceita pela CTPOAR. Porém, a mesma câmara técnica considera o prazo final para a meta exíguo, considerando a diversidade e complexidade dos temas relativos à outorga, integrantes da Resolução CNRH n° 16/2001.</w:t>
      </w:r>
    </w:p>
    <w:p w:rsidR="00925541" w:rsidRPr="00F303DC" w:rsidRDefault="00925541" w:rsidP="00E679A4">
      <w:pPr>
        <w:jc w:val="both"/>
        <w:rPr>
          <w:sz w:val="24"/>
          <w:szCs w:val="24"/>
        </w:rPr>
      </w:pPr>
      <w:r w:rsidRPr="00F303DC">
        <w:rPr>
          <w:sz w:val="24"/>
          <w:szCs w:val="24"/>
        </w:rPr>
        <w:t>Além da revisão de todo o procedimento de análise e emissão de outorgas, bem como todo o conteúdo técnico associado, diversas temas já existen</w:t>
      </w:r>
      <w:r w:rsidR="00F86E1C" w:rsidRPr="00F303DC">
        <w:rPr>
          <w:sz w:val="24"/>
          <w:szCs w:val="24"/>
        </w:rPr>
        <w:t>tes e outros novos serão objeto</w:t>
      </w:r>
      <w:r w:rsidRPr="00F303DC">
        <w:rPr>
          <w:sz w:val="24"/>
          <w:szCs w:val="24"/>
        </w:rPr>
        <w:t xml:space="preserve"> de </w:t>
      </w:r>
      <w:r w:rsidR="00767065">
        <w:rPr>
          <w:sz w:val="24"/>
          <w:szCs w:val="24"/>
        </w:rPr>
        <w:t>discussão</w:t>
      </w:r>
      <w:r w:rsidRPr="00F303DC">
        <w:rPr>
          <w:sz w:val="24"/>
          <w:szCs w:val="24"/>
        </w:rPr>
        <w:t>, frente ao avanço do instrumento outorga no país.</w:t>
      </w:r>
    </w:p>
    <w:p w:rsidR="009C5368" w:rsidRPr="00F303DC" w:rsidRDefault="00B134C3" w:rsidP="00E679A4">
      <w:pPr>
        <w:jc w:val="both"/>
        <w:rPr>
          <w:sz w:val="24"/>
          <w:szCs w:val="24"/>
        </w:rPr>
      </w:pPr>
      <w:r w:rsidRPr="00F303DC">
        <w:rPr>
          <w:sz w:val="24"/>
          <w:szCs w:val="24"/>
        </w:rPr>
        <w:t xml:space="preserve">A seguir são explicitados alguns </w:t>
      </w:r>
      <w:r w:rsidR="00721AC4" w:rsidRPr="00F303DC">
        <w:rPr>
          <w:sz w:val="24"/>
          <w:szCs w:val="24"/>
        </w:rPr>
        <w:t>temas já existentes e outros</w:t>
      </w:r>
      <w:r w:rsidR="00F86678" w:rsidRPr="00F303DC">
        <w:rPr>
          <w:sz w:val="24"/>
          <w:szCs w:val="24"/>
        </w:rPr>
        <w:t xml:space="preserve"> que serão incorporados à revisão da Resolução 1</w:t>
      </w:r>
      <w:r w:rsidR="00281416">
        <w:rPr>
          <w:sz w:val="24"/>
          <w:szCs w:val="24"/>
        </w:rPr>
        <w:t>6</w:t>
      </w:r>
      <w:r w:rsidR="00F86678" w:rsidRPr="00F303DC">
        <w:rPr>
          <w:sz w:val="24"/>
          <w:szCs w:val="24"/>
        </w:rPr>
        <w:t>/2001.</w:t>
      </w:r>
    </w:p>
    <w:p w:rsidR="00F86678" w:rsidRPr="00F303DC" w:rsidRDefault="00CB7B6C" w:rsidP="00F303DC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 w:rsidRPr="00F303DC">
        <w:rPr>
          <w:sz w:val="24"/>
          <w:szCs w:val="24"/>
        </w:rPr>
        <w:t xml:space="preserve">O tema “usos que independem de outorga” </w:t>
      </w:r>
      <w:r w:rsidR="00DA4D10" w:rsidRPr="00F303DC">
        <w:rPr>
          <w:sz w:val="24"/>
          <w:szCs w:val="24"/>
        </w:rPr>
        <w:t>poderá ser complementado</w:t>
      </w:r>
      <w:r w:rsidRPr="00F303DC">
        <w:rPr>
          <w:sz w:val="24"/>
          <w:szCs w:val="24"/>
        </w:rPr>
        <w:t xml:space="preserve"> com a nova Resolução CNRH 184/2016;</w:t>
      </w:r>
    </w:p>
    <w:p w:rsidR="00B134C3" w:rsidRPr="00F303DC" w:rsidRDefault="002E2798" w:rsidP="00F303DC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 w:rsidRPr="00F303DC">
        <w:rPr>
          <w:sz w:val="24"/>
          <w:szCs w:val="24"/>
        </w:rPr>
        <w:t>O tema “emissão de outorga” poderá ter que se adequar à nova resolu</w:t>
      </w:r>
      <w:r w:rsidR="00807618" w:rsidRPr="00F303DC">
        <w:rPr>
          <w:sz w:val="24"/>
          <w:szCs w:val="24"/>
        </w:rPr>
        <w:t>ção, ora em discussão na CTPOAR, que versa sobre definição de prioridades para outorga nos planos de recursos hídricos;</w:t>
      </w:r>
    </w:p>
    <w:p w:rsidR="00807618" w:rsidRPr="00F303DC" w:rsidRDefault="00E45E03" w:rsidP="00F303DC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 w:rsidRPr="00F303DC">
        <w:rPr>
          <w:sz w:val="24"/>
          <w:szCs w:val="24"/>
        </w:rPr>
        <w:t>O tema “cadastro dos usuários de recursos hídricos” deverá ser discutido levando-se em consideração as novas tecnologias para identificação dos usuários, como já consta na Resolução 184/2016;</w:t>
      </w:r>
    </w:p>
    <w:p w:rsidR="00433A9E" w:rsidRPr="00F303DC" w:rsidRDefault="00433A9E" w:rsidP="00F303DC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 w:rsidRPr="00F303DC">
        <w:rPr>
          <w:sz w:val="24"/>
          <w:szCs w:val="24"/>
        </w:rPr>
        <w:t>As recentes crises hídricas ocorrentes no país poderão ensejar novas diretrizes para emissão de outorgas;</w:t>
      </w:r>
    </w:p>
    <w:p w:rsidR="00E45E03" w:rsidRPr="00F303DC" w:rsidRDefault="00E45E03" w:rsidP="00F303DC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 w:rsidRPr="00F303DC">
        <w:rPr>
          <w:sz w:val="24"/>
          <w:szCs w:val="24"/>
        </w:rPr>
        <w:t xml:space="preserve">A suspensão das outorgas, prevista </w:t>
      </w:r>
      <w:r w:rsidR="00433A9E" w:rsidRPr="00F303DC">
        <w:rPr>
          <w:sz w:val="24"/>
          <w:szCs w:val="24"/>
        </w:rPr>
        <w:t>para diversas situações, deverá</w:t>
      </w:r>
      <w:r w:rsidRPr="00F303DC">
        <w:rPr>
          <w:sz w:val="24"/>
          <w:szCs w:val="24"/>
        </w:rPr>
        <w:t xml:space="preserve"> observar</w:t>
      </w:r>
      <w:r w:rsidR="00980D73" w:rsidRPr="00F303DC">
        <w:rPr>
          <w:sz w:val="24"/>
          <w:szCs w:val="24"/>
        </w:rPr>
        <w:t xml:space="preserve"> a experiência</w:t>
      </w:r>
      <w:r w:rsidRPr="00F303DC">
        <w:rPr>
          <w:sz w:val="24"/>
          <w:szCs w:val="24"/>
        </w:rPr>
        <w:t xml:space="preserve"> </w:t>
      </w:r>
      <w:r w:rsidR="00980D73" w:rsidRPr="00F303DC">
        <w:rPr>
          <w:sz w:val="24"/>
          <w:szCs w:val="24"/>
        </w:rPr>
        <w:t>d</w:t>
      </w:r>
      <w:r w:rsidRPr="00F303DC">
        <w:rPr>
          <w:sz w:val="24"/>
          <w:szCs w:val="24"/>
        </w:rPr>
        <w:t>as recentes crises hídricas no país;</w:t>
      </w:r>
    </w:p>
    <w:p w:rsidR="002C521B" w:rsidRPr="00F303DC" w:rsidRDefault="002C521B" w:rsidP="00F303DC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 w:rsidRPr="00F303DC">
        <w:rPr>
          <w:sz w:val="24"/>
          <w:szCs w:val="24"/>
        </w:rPr>
        <w:lastRenderedPageBreak/>
        <w:t xml:space="preserve">O tema “gestão integrada de águas superficiais e subterrâneas”, ora em discussão no âmbito </w:t>
      </w:r>
      <w:r w:rsidR="00874C1A" w:rsidRPr="00F303DC">
        <w:rPr>
          <w:sz w:val="24"/>
          <w:szCs w:val="24"/>
        </w:rPr>
        <w:t xml:space="preserve">das câmaras CTPOAR e CTAS, poderá ter inserções </w:t>
      </w:r>
      <w:r w:rsidR="00FD63E0" w:rsidRPr="00F303DC">
        <w:rPr>
          <w:sz w:val="24"/>
          <w:szCs w:val="24"/>
        </w:rPr>
        <w:t>na resolução de diretrizes gerais de outorga;</w:t>
      </w:r>
    </w:p>
    <w:p w:rsidR="00FD63E0" w:rsidRPr="00F303DC" w:rsidRDefault="005B0270" w:rsidP="00F303DC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 w:rsidRPr="00F303DC">
        <w:rPr>
          <w:sz w:val="24"/>
          <w:szCs w:val="24"/>
        </w:rPr>
        <w:t xml:space="preserve">Outros novos temas, como </w:t>
      </w:r>
      <w:r w:rsidR="0089141D" w:rsidRPr="00F303DC">
        <w:rPr>
          <w:sz w:val="24"/>
          <w:szCs w:val="24"/>
        </w:rPr>
        <w:t xml:space="preserve">outorga sazonal, outorga coletiva, outorga em áreas estuarinas, etc., deverão ser discutidos </w:t>
      </w:r>
      <w:r w:rsidR="00980D73" w:rsidRPr="00F303DC">
        <w:rPr>
          <w:sz w:val="24"/>
          <w:szCs w:val="24"/>
        </w:rPr>
        <w:t>no âmbito da</w:t>
      </w:r>
      <w:r w:rsidR="0089141D" w:rsidRPr="00F303DC">
        <w:rPr>
          <w:sz w:val="24"/>
          <w:szCs w:val="24"/>
        </w:rPr>
        <w:t xml:space="preserve"> revisão da Resolução 16/2001.</w:t>
      </w:r>
    </w:p>
    <w:p w:rsidR="001F6F39" w:rsidRPr="00F303DC" w:rsidRDefault="001F6F39" w:rsidP="00E679A4">
      <w:pPr>
        <w:jc w:val="both"/>
        <w:rPr>
          <w:sz w:val="24"/>
          <w:szCs w:val="24"/>
        </w:rPr>
      </w:pPr>
      <w:r w:rsidRPr="00F303DC">
        <w:rPr>
          <w:sz w:val="24"/>
          <w:szCs w:val="24"/>
        </w:rPr>
        <w:t>Quanto à Meta 24</w:t>
      </w:r>
      <w:r w:rsidR="00767065">
        <w:rPr>
          <w:sz w:val="24"/>
          <w:szCs w:val="24"/>
        </w:rPr>
        <w:t xml:space="preserve"> (diretrizes para outorga coletiva)</w:t>
      </w:r>
      <w:r w:rsidR="00F303DC" w:rsidRPr="00F303DC">
        <w:rPr>
          <w:sz w:val="24"/>
          <w:szCs w:val="24"/>
        </w:rPr>
        <w:t>, deverá sofrer as mesmas alterações da Meta 22, uma vez que será realizada concomitantemente a esta.</w:t>
      </w:r>
      <w:bookmarkStart w:id="0" w:name="_GoBack"/>
      <w:bookmarkEnd w:id="0"/>
    </w:p>
    <w:sectPr w:rsidR="001F6F39" w:rsidRPr="00F303DC" w:rsidSect="005879A8">
      <w:pgSz w:w="11906" w:h="16838"/>
      <w:pgMar w:top="1417" w:right="70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A0210"/>
    <w:multiLevelType w:val="hybridMultilevel"/>
    <w:tmpl w:val="89C83F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9A4"/>
    <w:rsid w:val="001F6F39"/>
    <w:rsid w:val="0025327B"/>
    <w:rsid w:val="00281416"/>
    <w:rsid w:val="002C521B"/>
    <w:rsid w:val="002E2798"/>
    <w:rsid w:val="003B7F80"/>
    <w:rsid w:val="003E000D"/>
    <w:rsid w:val="00433A9E"/>
    <w:rsid w:val="005879A8"/>
    <w:rsid w:val="005B0270"/>
    <w:rsid w:val="005D0E88"/>
    <w:rsid w:val="00721AC4"/>
    <w:rsid w:val="00733467"/>
    <w:rsid w:val="00767065"/>
    <w:rsid w:val="00807618"/>
    <w:rsid w:val="00874C1A"/>
    <w:rsid w:val="0089141D"/>
    <w:rsid w:val="00925541"/>
    <w:rsid w:val="00980D73"/>
    <w:rsid w:val="009B49A3"/>
    <w:rsid w:val="009C5368"/>
    <w:rsid w:val="00B134C3"/>
    <w:rsid w:val="00BC0514"/>
    <w:rsid w:val="00CB7B6C"/>
    <w:rsid w:val="00DA4D10"/>
    <w:rsid w:val="00E45E03"/>
    <w:rsid w:val="00E679A4"/>
    <w:rsid w:val="00F303DC"/>
    <w:rsid w:val="00F86678"/>
    <w:rsid w:val="00F86E1C"/>
    <w:rsid w:val="00FD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F1D06"/>
  <w15:chartTrackingRefBased/>
  <w15:docId w15:val="{0DC65E43-CE9D-4125-A914-A582E7505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B4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303DC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5879A8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879A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nrh.gov.br/resolucoes/1974-resolucao-n-181-de-07-de-dezembro-de-2016/fi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410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Henrique Pinheiro Silva</dc:creator>
  <cp:keywords/>
  <dc:description/>
  <cp:lastModifiedBy>Roseli dos Santos</cp:lastModifiedBy>
  <cp:revision>25</cp:revision>
  <dcterms:created xsi:type="dcterms:W3CDTF">2017-10-13T18:09:00Z</dcterms:created>
  <dcterms:modified xsi:type="dcterms:W3CDTF">2018-09-21T18:28:00Z</dcterms:modified>
</cp:coreProperties>
</file>